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eastAsia="zh-CN"/>
        </w:rPr>
        <w:t>附件</w:t>
      </w: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地坪改造</w:t>
      </w:r>
      <w:r>
        <w:rPr>
          <w:rFonts w:hint="default" w:ascii="Times New Roman" w:hAnsi="Times New Roman" w:eastAsia="宋体" w:cs="Times New Roman"/>
          <w:b/>
          <w:bCs/>
          <w:lang w:val="en-US" w:eastAsia="zh-CN"/>
        </w:rPr>
        <w:t>施工要求</w:t>
      </w:r>
    </w:p>
    <w:p>
      <w:pPr>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地坪改造</w:t>
      </w:r>
      <w:r>
        <w:rPr>
          <w:rFonts w:hint="default" w:ascii="Times New Roman" w:hAnsi="Times New Roman" w:cs="Times New Roman"/>
          <w:b/>
          <w:bCs/>
          <w:sz w:val="36"/>
          <w:szCs w:val="36"/>
          <w:lang w:val="en-US" w:eastAsia="zh-CN"/>
        </w:rPr>
        <w:t>施工要求</w:t>
      </w:r>
    </w:p>
    <w:p>
      <w:pPr>
        <w:numPr>
          <w:ilvl w:val="0"/>
          <w:numId w:val="1"/>
        </w:numPr>
        <w:spacing w:line="360" w:lineRule="auto"/>
        <w:rPr>
          <w:rFonts w:hint="default" w:ascii="Times New Roman" w:hAnsi="Times New Roman" w:eastAsia="宋体" w:cs="Times New Roman"/>
          <w:b/>
          <w:bCs w:val="0"/>
          <w:color w:val="auto"/>
          <w:sz w:val="24"/>
          <w:szCs w:val="24"/>
          <w:highlight w:val="none"/>
        </w:rPr>
      </w:pPr>
      <w:r>
        <w:rPr>
          <w:rFonts w:hint="eastAsia" w:ascii="Times New Roman" w:hAnsi="Times New Roman" w:eastAsia="宋体" w:cs="Times New Roman"/>
          <w:b/>
          <w:bCs w:val="0"/>
          <w:color w:val="auto"/>
          <w:sz w:val="24"/>
          <w:szCs w:val="24"/>
          <w:highlight w:val="none"/>
          <w:lang w:val="en-US" w:eastAsia="zh-CN"/>
        </w:rPr>
        <w:t>概述</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面积：生产区域=3000~4000㎡，通道区域=900~1000㎡；</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地面材质：金刚砂地坪和混凝土地坪混合；</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工艺要求：生产区域做地坪固化，通道区域做2mm环氧自流平+环氧超耐磨面漆（详见工艺附表）；</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投标方案报价地坪按每平方米单价计算，画线按每米单价计算，合同总价以具体施工面积及画线长度结算，施工总面积在面积预算范围内；</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由于施工区域为生产区域，施工大致需分5</w:t>
      </w:r>
      <w:bookmarkStart w:id="1" w:name="_GoBack"/>
      <w:bookmarkEnd w:id="1"/>
      <w:r>
        <w:rPr>
          <w:rFonts w:hint="eastAsia" w:ascii="Times New Roman" w:hAnsi="Times New Roman" w:eastAsia="宋体" w:cs="Times New Roman"/>
          <w:color w:val="auto"/>
          <w:sz w:val="24"/>
          <w:szCs w:val="24"/>
          <w:highlight w:val="none"/>
          <w:lang w:val="en-US" w:eastAsia="zh-CN"/>
        </w:rPr>
        <w:t>次完成（详见施工区域附图）；</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颜色：</w:t>
      </w:r>
      <w:r>
        <w:rPr>
          <w:rFonts w:hint="default" w:ascii="Times New Roman" w:hAnsi="Times New Roman" w:eastAsia="宋体" w:cs="Times New Roman"/>
          <w:color w:val="auto"/>
          <w:sz w:val="24"/>
          <w:szCs w:val="24"/>
          <w:highlight w:val="none"/>
          <w:lang w:eastAsia="zh-CN"/>
        </w:rPr>
        <w:t>投标人</w:t>
      </w:r>
      <w:r>
        <w:rPr>
          <w:rFonts w:hint="default" w:ascii="Times New Roman" w:hAnsi="Times New Roman" w:eastAsia="宋体" w:cs="Times New Roman"/>
          <w:color w:val="auto"/>
          <w:sz w:val="24"/>
          <w:szCs w:val="24"/>
          <w:highlight w:val="none"/>
        </w:rPr>
        <w:t>需提供色板经</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w:t>
      </w:r>
      <w:r>
        <w:rPr>
          <w:rFonts w:hint="default" w:ascii="Times New Roman" w:hAnsi="Times New Roman" w:eastAsia="宋体" w:cs="Times New Roman"/>
          <w:color w:val="auto"/>
          <w:sz w:val="24"/>
          <w:szCs w:val="24"/>
          <w:highlight w:val="none"/>
          <w:lang w:eastAsia="zh-CN"/>
        </w:rPr>
        <w:t>；</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施工废料（含打磨收集的粉尘）需统一清理运走；</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地坪固化区域与环氧地坪区域施工后，接合面应平缓过渡；</w:t>
      </w:r>
    </w:p>
    <w:p>
      <w:pPr>
        <w:numPr>
          <w:ilvl w:val="0"/>
          <w:numId w:val="2"/>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地坪制作应有良好的耐磨、耐压、耐冲击性能，且应具备耐水、碱、盐、油的腐蚀；</w:t>
      </w:r>
    </w:p>
    <w:p>
      <w:pPr>
        <w:widowControl w:val="0"/>
        <w:numPr>
          <w:ilvl w:val="0"/>
          <w:numId w:val="1"/>
        </w:numPr>
        <w:spacing w:line="360" w:lineRule="auto"/>
        <w:ind w:left="0" w:leftChars="0" w:firstLine="0" w:firstLineChars="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制作要求</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满足后附施工工艺表相关要求；</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满足行业质量标准《整体地坪工程技术规程》CECS 328：2012、施工图、甲方技术文件、规格书、设施管理科《土建-环氧树脂地面制作技术要求》等要求；</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原地面</w:t>
      </w:r>
      <w:r>
        <w:rPr>
          <w:rFonts w:hint="eastAsia" w:ascii="Times New Roman" w:hAnsi="Times New Roman" w:eastAsia="宋体" w:cs="Times New Roman"/>
          <w:color w:val="auto"/>
          <w:sz w:val="24"/>
          <w:szCs w:val="24"/>
          <w:highlight w:val="none"/>
          <w:lang w:val="en-US" w:eastAsia="zh-CN"/>
        </w:rPr>
        <w:t>存在</w:t>
      </w:r>
      <w:r>
        <w:rPr>
          <w:rFonts w:hint="default" w:ascii="Times New Roman" w:hAnsi="Times New Roman" w:eastAsia="宋体" w:cs="Times New Roman"/>
          <w:color w:val="auto"/>
          <w:sz w:val="24"/>
          <w:szCs w:val="24"/>
          <w:highlight w:val="none"/>
        </w:rPr>
        <w:t>油污</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地坪施工前需对</w:t>
      </w:r>
      <w:r>
        <w:rPr>
          <w:rFonts w:hint="default" w:ascii="Times New Roman" w:hAnsi="Times New Roman" w:eastAsia="宋体" w:cs="Times New Roman"/>
          <w:color w:val="auto"/>
          <w:sz w:val="24"/>
          <w:szCs w:val="24"/>
          <w:highlight w:val="none"/>
        </w:rPr>
        <w:t>全部地面进行</w:t>
      </w:r>
      <w:r>
        <w:rPr>
          <w:rFonts w:hint="eastAsia" w:ascii="Times New Roman" w:hAnsi="Times New Roman" w:eastAsia="宋体" w:cs="Times New Roman"/>
          <w:color w:val="auto"/>
          <w:sz w:val="24"/>
          <w:szCs w:val="24"/>
          <w:highlight w:val="none"/>
          <w:lang w:val="en-US" w:eastAsia="zh-CN"/>
        </w:rPr>
        <w:t>处理，避免原油污对地坪质量的影响</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原地面</w:t>
      </w:r>
      <w:r>
        <w:rPr>
          <w:rFonts w:hint="eastAsia" w:ascii="Times New Roman" w:hAnsi="Times New Roman" w:eastAsia="宋体" w:cs="Times New Roman"/>
          <w:color w:val="auto"/>
          <w:sz w:val="24"/>
          <w:szCs w:val="24"/>
          <w:highlight w:val="none"/>
          <w:lang w:val="en-US" w:eastAsia="zh-CN"/>
        </w:rPr>
        <w:t>破损</w:t>
      </w:r>
      <w:r>
        <w:rPr>
          <w:rFonts w:hint="default" w:ascii="Times New Roman" w:hAnsi="Times New Roman" w:eastAsia="宋体" w:cs="Times New Roman"/>
          <w:color w:val="auto"/>
          <w:sz w:val="24"/>
          <w:szCs w:val="24"/>
          <w:highlight w:val="none"/>
        </w:rPr>
        <w:t>部分在</w:t>
      </w:r>
      <w:r>
        <w:rPr>
          <w:rFonts w:hint="eastAsia" w:ascii="Times New Roman" w:hAnsi="Times New Roman" w:eastAsia="宋体" w:cs="Times New Roman"/>
          <w:color w:val="auto"/>
          <w:sz w:val="24"/>
          <w:szCs w:val="24"/>
          <w:highlight w:val="none"/>
          <w:lang w:val="en-US" w:eastAsia="zh-CN"/>
        </w:rPr>
        <w:t>新地坪施工</w:t>
      </w:r>
      <w:r>
        <w:rPr>
          <w:rFonts w:hint="default" w:ascii="Times New Roman" w:hAnsi="Times New Roman" w:eastAsia="宋体" w:cs="Times New Roman"/>
          <w:color w:val="auto"/>
          <w:sz w:val="24"/>
          <w:szCs w:val="24"/>
          <w:highlight w:val="none"/>
        </w:rPr>
        <w:t>时，必需要对所有</w:t>
      </w:r>
      <w:r>
        <w:rPr>
          <w:rFonts w:hint="eastAsia" w:ascii="Times New Roman" w:hAnsi="Times New Roman" w:eastAsia="宋体" w:cs="Times New Roman"/>
          <w:color w:val="auto"/>
          <w:sz w:val="24"/>
          <w:szCs w:val="24"/>
          <w:highlight w:val="none"/>
          <w:lang w:val="en-US" w:eastAsia="zh-CN"/>
        </w:rPr>
        <w:t>破损</w:t>
      </w:r>
      <w:r>
        <w:rPr>
          <w:rFonts w:hint="default" w:ascii="Times New Roman" w:hAnsi="Times New Roman" w:eastAsia="宋体" w:cs="Times New Roman"/>
          <w:color w:val="auto"/>
          <w:sz w:val="24"/>
          <w:szCs w:val="24"/>
          <w:highlight w:val="none"/>
        </w:rPr>
        <w:t>部位进行</w:t>
      </w:r>
      <w:r>
        <w:rPr>
          <w:rFonts w:hint="eastAsia" w:ascii="Times New Roman" w:hAnsi="Times New Roman" w:eastAsia="宋体" w:cs="Times New Roman"/>
          <w:color w:val="auto"/>
          <w:sz w:val="24"/>
          <w:szCs w:val="24"/>
          <w:highlight w:val="none"/>
          <w:lang w:val="en-US" w:eastAsia="zh-CN"/>
        </w:rPr>
        <w:t>处理</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修复平整，</w:t>
      </w:r>
      <w:r>
        <w:rPr>
          <w:rFonts w:hint="default" w:ascii="Times New Roman" w:hAnsi="Times New Roman" w:eastAsia="宋体" w:cs="Times New Roman"/>
          <w:color w:val="auto"/>
          <w:sz w:val="24"/>
          <w:szCs w:val="24"/>
          <w:highlight w:val="none"/>
        </w:rPr>
        <w:t>经过甲方确认后才可以进行下一步施工；</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原地面有遗留固定用铁钉等物品在新</w:t>
      </w:r>
      <w:r>
        <w:rPr>
          <w:rFonts w:hint="eastAsia" w:ascii="Times New Roman" w:hAnsi="Times New Roman" w:eastAsia="宋体" w:cs="Times New Roman"/>
          <w:color w:val="auto"/>
          <w:sz w:val="24"/>
          <w:szCs w:val="24"/>
          <w:highlight w:val="none"/>
          <w:lang w:val="en-US" w:eastAsia="zh-CN"/>
        </w:rPr>
        <w:t>地坪施工</w:t>
      </w:r>
      <w:r>
        <w:rPr>
          <w:rFonts w:hint="default" w:ascii="Times New Roman" w:hAnsi="Times New Roman" w:eastAsia="宋体" w:cs="Times New Roman"/>
          <w:color w:val="auto"/>
          <w:sz w:val="24"/>
          <w:szCs w:val="24"/>
          <w:highlight w:val="none"/>
        </w:rPr>
        <w:t>时，必需要对所有物品进行打磨平整与地面等高，再进行下步施工；</w:t>
      </w:r>
    </w:p>
    <w:p>
      <w:pPr>
        <w:spacing w:line="360" w:lineRule="auto"/>
        <w:ind w:firstLine="480" w:firstLineChars="200"/>
        <w:rPr>
          <w:rFonts w:hint="default" w:ascii="Times New Roman" w:hAnsi="Times New Roman" w:eastAsia="宋体" w:cs="Times New Roman"/>
          <w:color w:val="auto"/>
          <w:sz w:val="24"/>
          <w:szCs w:val="24"/>
          <w:highlight w:val="yellow"/>
          <w:lang w:eastAsia="zh-CN"/>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新铺设环氧地面制作施工时要保证地面平面度，铺设完成后平</w:t>
      </w:r>
      <w:r>
        <w:rPr>
          <w:rFonts w:hint="eastAsia" w:ascii="Times New Roman" w:hAnsi="Times New Roman" w:eastAsia="宋体" w:cs="Times New Roman"/>
          <w:color w:val="auto"/>
          <w:sz w:val="24"/>
          <w:szCs w:val="24"/>
          <w:highlight w:val="none"/>
          <w:lang w:val="en-US" w:eastAsia="zh-CN"/>
        </w:rPr>
        <w:t>整</w:t>
      </w:r>
      <w:r>
        <w:rPr>
          <w:rFonts w:hint="default" w:ascii="Times New Roman" w:hAnsi="Times New Roman" w:eastAsia="宋体" w:cs="Times New Roman"/>
          <w:color w:val="auto"/>
          <w:sz w:val="24"/>
          <w:szCs w:val="24"/>
          <w:highlight w:val="none"/>
        </w:rPr>
        <w:t>度≤2mm/</w:t>
      </w:r>
      <w:r>
        <w:rPr>
          <w:rFonts w:hint="eastAsia" w:ascii="Times New Roman" w:hAnsi="Times New Roman" w:eastAsia="宋体" w:cs="Times New Roman"/>
          <w:color w:val="auto"/>
          <w:sz w:val="24"/>
          <w:szCs w:val="24"/>
          <w:highlight w:val="none"/>
          <w:lang w:val="en-US" w:eastAsia="zh-CN"/>
        </w:rPr>
        <w:t>2m</w:t>
      </w:r>
      <w:r>
        <w:rPr>
          <w:rFonts w:hint="default" w:ascii="Times New Roman" w:hAnsi="Times New Roman" w:eastAsia="宋体"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yellow"/>
          <w:lang w:eastAsia="zh-CN"/>
        </w:rPr>
      </w:pPr>
    </w:p>
    <w:p>
      <w:pPr>
        <w:spacing w:line="360" w:lineRule="auto"/>
        <w:ind w:firstLine="480" w:firstLineChars="200"/>
        <w:rPr>
          <w:rFonts w:hint="default" w:ascii="Times New Roman" w:hAnsi="Times New Roman" w:eastAsia="宋体" w:cs="Times New Roman"/>
          <w:color w:val="auto"/>
          <w:sz w:val="24"/>
          <w:szCs w:val="24"/>
          <w:highlight w:val="yellow"/>
          <w:lang w:eastAsia="zh-CN"/>
        </w:rPr>
      </w:pPr>
    </w:p>
    <w:p>
      <w:pPr>
        <w:widowControl w:val="0"/>
        <w:numPr>
          <w:ilvl w:val="0"/>
          <w:numId w:val="1"/>
        </w:numPr>
        <w:spacing w:line="360" w:lineRule="auto"/>
        <w:ind w:left="0" w:leftChars="0" w:firstLine="0" w:firstLineChars="0"/>
        <w:jc w:val="both"/>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执行标准</w:t>
      </w:r>
    </w:p>
    <w:p>
      <w:pPr>
        <w:widowControl w:val="0"/>
        <w:numPr>
          <w:ilvl w:val="0"/>
          <w:numId w:val="0"/>
        </w:numPr>
        <w:spacing w:line="36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GB/T 22374-2018</w:t>
      </w:r>
    </w:p>
    <w:p>
      <w:pPr>
        <w:widowControl w:val="0"/>
        <w:numPr>
          <w:ilvl w:val="0"/>
          <w:numId w:val="0"/>
        </w:numPr>
        <w:spacing w:line="360" w:lineRule="auto"/>
        <w:ind w:leftChars="0" w:firstLine="480" w:firstLineChars="200"/>
        <w:jc w:val="both"/>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GB 38468-2019</w:t>
      </w:r>
    </w:p>
    <w:p>
      <w:pPr>
        <w:widowControl w:val="0"/>
        <w:numPr>
          <w:ilvl w:val="0"/>
          <w:numId w:val="0"/>
        </w:numPr>
        <w:spacing w:line="360" w:lineRule="auto"/>
        <w:ind w:leftChars="0"/>
        <w:jc w:val="both"/>
        <w:rPr>
          <w:rFonts w:hint="eastAsia" w:ascii="Times New Roman" w:hAnsi="Times New Roman" w:eastAsia="宋体" w:cs="Times New Roman"/>
          <w:b/>
          <w:bCs/>
          <w:color w:val="auto"/>
          <w:sz w:val="24"/>
          <w:szCs w:val="24"/>
          <w:highlight w:val="none"/>
          <w:lang w:val="en-US" w:eastAsia="zh-CN"/>
        </w:rPr>
      </w:pPr>
    </w:p>
    <w:p>
      <w:pPr>
        <w:widowControl w:val="0"/>
        <w:numPr>
          <w:ilvl w:val="0"/>
          <w:numId w:val="1"/>
        </w:numPr>
        <w:spacing w:line="360" w:lineRule="auto"/>
        <w:ind w:left="0" w:leftChars="0" w:firstLine="0" w:firstLineChars="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其他说明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工作区域与通道分界处，划线时粘贴分色纸确保边界平整，不得出现渗边情况；</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Cs/>
          <w:color w:val="auto"/>
          <w:sz w:val="24"/>
          <w:szCs w:val="24"/>
          <w:highlight w:val="none"/>
        </w:rPr>
        <w:t>本工程所采用的材料等均应符合图纸要求及国家质量标准的合格产品，否则</w:t>
      </w:r>
      <w:r>
        <w:rPr>
          <w:rFonts w:hint="default" w:ascii="Times New Roman" w:hAnsi="Times New Roman" w:eastAsia="宋体" w:cs="Times New Roman"/>
          <w:bCs/>
          <w:color w:val="auto"/>
          <w:sz w:val="24"/>
          <w:szCs w:val="24"/>
          <w:highlight w:val="none"/>
          <w:lang w:eastAsia="zh-CN"/>
        </w:rPr>
        <w:t>发包人</w:t>
      </w:r>
      <w:r>
        <w:rPr>
          <w:rFonts w:hint="default" w:ascii="Times New Roman" w:hAnsi="Times New Roman" w:eastAsia="宋体" w:cs="Times New Roman"/>
          <w:bCs/>
          <w:color w:val="auto"/>
          <w:sz w:val="24"/>
          <w:szCs w:val="24"/>
          <w:highlight w:val="none"/>
        </w:rPr>
        <w:t>一律退货，不予入场。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br w:type="page"/>
      </w:r>
    </w:p>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环氧</w:t>
      </w:r>
      <w:r>
        <w:rPr>
          <w:rFonts w:hint="eastAsia" w:ascii="Times New Roman" w:hAnsi="Times New Roman" w:eastAsia="宋体" w:cs="Times New Roman"/>
          <w:b/>
          <w:bCs/>
          <w:color w:val="auto"/>
          <w:sz w:val="24"/>
          <w:szCs w:val="24"/>
          <w:highlight w:val="none"/>
          <w:lang w:val="en-US" w:eastAsia="zh-CN"/>
        </w:rPr>
        <w:t>自流平+环氧超耐磨面漆</w:t>
      </w:r>
      <w:r>
        <w:rPr>
          <w:rFonts w:hint="default" w:ascii="Times New Roman" w:hAnsi="Times New Roman" w:eastAsia="宋体" w:cs="Times New Roman"/>
          <w:b/>
          <w:bCs/>
          <w:color w:val="auto"/>
          <w:sz w:val="24"/>
          <w:szCs w:val="24"/>
          <w:highlight w:val="none"/>
        </w:rPr>
        <w:t>施工工艺表</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实际施工工艺工序可根据厂家自身工艺情况进行调整，但施工工艺</w:t>
      </w:r>
      <w:r>
        <w:rPr>
          <w:rFonts w:hint="default" w:ascii="Times New Roman" w:hAnsi="Times New Roman" w:eastAsia="宋体" w:cs="Times New Roman"/>
          <w:color w:val="auto"/>
          <w:sz w:val="24"/>
          <w:szCs w:val="24"/>
          <w:highlight w:val="none"/>
        </w:rPr>
        <w:t>不得</w:t>
      </w:r>
      <w:r>
        <w:rPr>
          <w:rFonts w:hint="eastAsia" w:ascii="Times New Roman" w:hAnsi="Times New Roman" w:eastAsia="宋体" w:cs="Times New Roman"/>
          <w:color w:val="auto"/>
          <w:sz w:val="24"/>
          <w:szCs w:val="24"/>
          <w:highlight w:val="none"/>
          <w:lang w:val="en-US" w:eastAsia="zh-CN"/>
        </w:rPr>
        <w:t>低于</w:t>
      </w:r>
      <w:r>
        <w:rPr>
          <w:rFonts w:hint="default" w:ascii="Times New Roman" w:hAnsi="Times New Roman" w:eastAsia="宋体" w:cs="Times New Roman"/>
          <w:color w:val="auto"/>
          <w:sz w:val="24"/>
          <w:szCs w:val="24"/>
          <w:highlight w:val="none"/>
        </w:rPr>
        <w:t>工艺</w:t>
      </w:r>
      <w:r>
        <w:rPr>
          <w:rFonts w:hint="eastAsia" w:ascii="Times New Roman" w:hAnsi="Times New Roman" w:eastAsia="宋体" w:cs="Times New Roman"/>
          <w:color w:val="auto"/>
          <w:sz w:val="24"/>
          <w:szCs w:val="24"/>
          <w:highlight w:val="none"/>
          <w:lang w:val="en-US" w:eastAsia="zh-CN"/>
        </w:rPr>
        <w:t>表</w:t>
      </w:r>
      <w:r>
        <w:rPr>
          <w:rFonts w:hint="default" w:ascii="Times New Roman" w:hAnsi="Times New Roman" w:eastAsia="宋体" w:cs="Times New Roman"/>
          <w:color w:val="auto"/>
          <w:sz w:val="24"/>
          <w:szCs w:val="24"/>
          <w:highlight w:val="none"/>
        </w:rPr>
        <w:t>要求）</w:t>
      </w:r>
    </w:p>
    <w:tbl>
      <w:tblPr>
        <w:tblStyle w:val="3"/>
        <w:tblW w:w="8521" w:type="dxa"/>
        <w:jc w:val="center"/>
        <w:tblInd w:w="-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787"/>
        <w:gridCol w:w="1988"/>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exact"/>
          <w:tblHeader/>
          <w:jc w:val="center"/>
        </w:trPr>
        <w:tc>
          <w:tcPr>
            <w:tcW w:w="98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bCs/>
                <w:color w:val="auto"/>
                <w:sz w:val="24"/>
                <w:szCs w:val="24"/>
                <w:highlight w:val="none"/>
              </w:rPr>
            </w:pPr>
            <w:bookmarkStart w:id="0" w:name="OLE_LINK1" w:colFirst="0" w:colLast="3"/>
            <w:r>
              <w:rPr>
                <w:rFonts w:hint="default" w:ascii="Times New Roman" w:hAnsi="Times New Roman" w:eastAsia="宋体" w:cs="Times New Roman"/>
                <w:b/>
                <w:bCs/>
                <w:color w:val="auto"/>
                <w:sz w:val="24"/>
                <w:szCs w:val="24"/>
                <w:highlight w:val="none"/>
              </w:rPr>
              <w:t>名 称</w:t>
            </w:r>
          </w:p>
        </w:tc>
        <w:tc>
          <w:tcPr>
            <w:tcW w:w="7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工序</w:t>
            </w:r>
          </w:p>
        </w:tc>
        <w:tc>
          <w:tcPr>
            <w:tcW w:w="19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施工工艺</w:t>
            </w:r>
          </w:p>
        </w:tc>
        <w:tc>
          <w:tcPr>
            <w:tcW w:w="476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mm环氧</w:t>
            </w:r>
            <w:r>
              <w:rPr>
                <w:rFonts w:hint="eastAsia" w:ascii="Times New Roman" w:hAnsi="Times New Roman" w:eastAsia="宋体" w:cs="Times New Roman"/>
                <w:color w:val="auto"/>
                <w:sz w:val="24"/>
                <w:szCs w:val="24"/>
                <w:highlight w:val="none"/>
                <w:lang w:val="en-US" w:eastAsia="zh-CN"/>
              </w:rPr>
              <w:t>自流平+环氧超耐磨面漆</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地面基层处理</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清除旧油漆，打磨地面，边角柱位人手打磨，清理清扫，保证环氧地坪层与混凝土基层的粘结强度；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裂缝坑洼及伸缩缝清理</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裂缝切割成V型槽，坑洼基面处理，清理积灰；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环氧树脂底漆施工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用环氧底漆涂刮，保证环氧底漆充分渗透地面，保证粘结强度；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裂缝坑洼伸缩缝修补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裂缝、坑洼用专用材料修补填；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环氧树脂中涂砂浆层施工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用环氧中涂漆均匀刮涂，达到所需厚度；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裂缝坑洼伸缩缝修补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环氧中涂漆干透后，对表面形成的凹陷、裂缝等进行修补刮涂找平；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环氧中涂砂浆层打磨（精磨）</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用打磨机对中涂层进行精磨，确保表面光滑平整，边角柱位人手打磨光滑；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环氧树脂中涂腻子层施工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用环氧树脂漆调配适量石英粉满刮一遍，保证涂刮均匀；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环氧树脂自流平面漆施工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用环氧自流平面漆和2mm馒刀刮涂，边角设备边缘用毛刷涂刷；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w:t>
            </w:r>
          </w:p>
        </w:tc>
        <w:tc>
          <w:tcPr>
            <w:tcW w:w="1988"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超耐磨面漆施工</w:t>
            </w:r>
          </w:p>
        </w:tc>
        <w:tc>
          <w:tcPr>
            <w:tcW w:w="4766"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用超耐磨面漆刮涂，边角设备边缘用毛刷涂刷；</w:t>
            </w:r>
          </w:p>
        </w:tc>
      </w:tr>
      <w:bookmarkEnd w:id="0"/>
    </w:tbl>
    <w:p>
      <w:pPr>
        <w:spacing w:line="360" w:lineRule="auto"/>
        <w:rPr>
          <w:rFonts w:hint="eastAsia" w:ascii="Times New Roman" w:hAnsi="Times New Roman" w:eastAsia="宋体" w:cs="Times New Roman"/>
          <w:b/>
          <w:bCs/>
          <w:color w:val="auto"/>
          <w:sz w:val="24"/>
          <w:szCs w:val="24"/>
          <w:highlight w:val="none"/>
          <w:lang w:val="en-US" w:eastAsia="zh-CN"/>
        </w:rPr>
      </w:pPr>
    </w:p>
    <w:p>
      <w:pPr>
        <w:spacing w:line="360" w:lineRule="auto"/>
        <w:rPr>
          <w:rFonts w:hint="eastAsia" w:ascii="Times New Roman" w:hAnsi="Times New Roman" w:eastAsia="宋体" w:cs="Times New Roman"/>
          <w:b/>
          <w:bCs/>
          <w:color w:val="auto"/>
          <w:sz w:val="24"/>
          <w:szCs w:val="24"/>
          <w:highlight w:val="none"/>
          <w:lang w:val="en-US" w:eastAsia="zh-CN"/>
        </w:rPr>
      </w:pPr>
    </w:p>
    <w:p>
      <w:pPr>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br w:type="page"/>
      </w:r>
    </w:p>
    <w:p>
      <w:pPr>
        <w:spacing w:line="360" w:lineRule="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地坪固化</w:t>
      </w:r>
      <w:r>
        <w:rPr>
          <w:rFonts w:hint="default" w:ascii="Times New Roman" w:hAnsi="Times New Roman" w:eastAsia="宋体" w:cs="Times New Roman"/>
          <w:b/>
          <w:bCs/>
          <w:color w:val="auto"/>
          <w:sz w:val="24"/>
          <w:szCs w:val="24"/>
          <w:highlight w:val="none"/>
        </w:rPr>
        <w:t>施工工艺表</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实际施工工艺工序可根据厂家自身工艺情况进行调整，但施工工艺</w:t>
      </w:r>
      <w:r>
        <w:rPr>
          <w:rFonts w:hint="default" w:ascii="Times New Roman" w:hAnsi="Times New Roman" w:eastAsia="宋体" w:cs="Times New Roman"/>
          <w:color w:val="auto"/>
          <w:sz w:val="24"/>
          <w:szCs w:val="24"/>
          <w:highlight w:val="none"/>
        </w:rPr>
        <w:t>不得</w:t>
      </w:r>
      <w:r>
        <w:rPr>
          <w:rFonts w:hint="eastAsia" w:ascii="Times New Roman" w:hAnsi="Times New Roman" w:eastAsia="宋体" w:cs="Times New Roman"/>
          <w:color w:val="auto"/>
          <w:sz w:val="24"/>
          <w:szCs w:val="24"/>
          <w:highlight w:val="none"/>
          <w:lang w:val="en-US" w:eastAsia="zh-CN"/>
        </w:rPr>
        <w:t>低于</w:t>
      </w:r>
      <w:r>
        <w:rPr>
          <w:rFonts w:hint="default" w:ascii="Times New Roman" w:hAnsi="Times New Roman" w:eastAsia="宋体" w:cs="Times New Roman"/>
          <w:color w:val="auto"/>
          <w:sz w:val="24"/>
          <w:szCs w:val="24"/>
          <w:highlight w:val="none"/>
        </w:rPr>
        <w:t>工艺</w:t>
      </w:r>
      <w:r>
        <w:rPr>
          <w:rFonts w:hint="eastAsia" w:ascii="Times New Roman" w:hAnsi="Times New Roman" w:eastAsia="宋体" w:cs="Times New Roman"/>
          <w:color w:val="auto"/>
          <w:sz w:val="24"/>
          <w:szCs w:val="24"/>
          <w:highlight w:val="none"/>
          <w:lang w:val="en-US" w:eastAsia="zh-CN"/>
        </w:rPr>
        <w:t>表</w:t>
      </w:r>
      <w:r>
        <w:rPr>
          <w:rFonts w:hint="default" w:ascii="Times New Roman" w:hAnsi="Times New Roman" w:eastAsia="宋体" w:cs="Times New Roman"/>
          <w:color w:val="auto"/>
          <w:sz w:val="24"/>
          <w:szCs w:val="24"/>
          <w:highlight w:val="none"/>
        </w:rPr>
        <w:t>要求）</w:t>
      </w:r>
    </w:p>
    <w:tbl>
      <w:tblPr>
        <w:tblStyle w:val="3"/>
        <w:tblW w:w="8521" w:type="dxa"/>
        <w:jc w:val="center"/>
        <w:tblInd w:w="-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787"/>
        <w:gridCol w:w="1975"/>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exact"/>
          <w:tblHeader/>
          <w:jc w:val="center"/>
        </w:trPr>
        <w:tc>
          <w:tcPr>
            <w:tcW w:w="980" w:type="dxa"/>
            <w:tcBorders>
              <w:bottom w:val="single" w:color="auto" w:sz="4" w:space="0"/>
            </w:tcBorders>
            <w:vAlign w:val="center"/>
          </w:tcPr>
          <w:p>
            <w:pPr>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名 称</w:t>
            </w:r>
          </w:p>
        </w:tc>
        <w:tc>
          <w:tcPr>
            <w:tcW w:w="787" w:type="dxa"/>
            <w:tcBorders>
              <w:bottom w:val="single" w:color="auto" w:sz="4" w:space="0"/>
            </w:tcBorders>
            <w:vAlign w:val="center"/>
          </w:tcPr>
          <w:p>
            <w:pPr>
              <w:spacing w:line="360" w:lineRule="auto"/>
              <w:jc w:val="center"/>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工序</w:t>
            </w:r>
          </w:p>
        </w:tc>
        <w:tc>
          <w:tcPr>
            <w:tcW w:w="1975" w:type="dxa"/>
            <w:tcBorders>
              <w:bottom w:val="single" w:color="auto" w:sz="4" w:space="0"/>
            </w:tcBorders>
            <w:vAlign w:val="center"/>
          </w:tcPr>
          <w:p>
            <w:pPr>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施工工艺</w:t>
            </w:r>
          </w:p>
        </w:tc>
        <w:tc>
          <w:tcPr>
            <w:tcW w:w="4779" w:type="dxa"/>
            <w:tcBorders>
              <w:bottom w:val="single" w:color="auto" w:sz="4" w:space="0"/>
            </w:tcBorders>
            <w:vAlign w:val="center"/>
          </w:tcPr>
          <w:p>
            <w:p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地坪固化</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地面基层处理</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清除旧油漆，打磨地面，边角柱位人手打磨，清理清扫；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伸缩缝清理</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伸缩缝切割成V型槽，清理积灰，用专用材料修补；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金刚石刀头磨片粗磨地面</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用专业研磨机配30#金刚石刀头磨去表面浮浆，露出颗粒；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金刚石刀头磨片粗磨地面</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用专业研磨机配80#金刚石刀头磨去30#金刚石到头磨片划痕，露出颗粒；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树脂磨片粗磨</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用水磨50#树脂磨片去除80#金刚石刀头留下的划痕，并磨到相同毛面；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树脂磨片粗磨</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用水磨150#树脂磨片去除50#树脂磨片留下的划痕，并磨到相同毛面；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地面清扫、清洁</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清扫清洁地面浮尘，保证地面干净；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密封固化剂喷洒</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均匀喷洒地面固化剂；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树脂磨片粗磨</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用200#树脂磨片研磨去150#树脂磨片留下的划痕，并磨到相同毛面；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密封固化剂喷洒</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前扫清洁地面，保证地面干净并再次均匀喷洒地面固化剂；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树脂磨片中磨（抛光）</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用干磨400#树脂磨片抛光，磨至地面出光；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12</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树脂磨片细磨（抛光）</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用干磨800#树脂磨片抛光，磨至地面出光；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13</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树脂磨片细磨（抛光）</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用干磨1500#树脂磨片抛光，磨至地面出光；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14</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树脂磨片细磨（抛光）</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用干磨3000#树脂磨片抛光，磨至地面出光；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default" w:ascii="Times New Roman" w:hAnsi="Times New Roman" w:eastAsia="宋体" w:cs="Times New Roman"/>
                <w:color w:val="auto"/>
                <w:sz w:val="24"/>
                <w:szCs w:val="24"/>
                <w:highlight w:val="none"/>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15</w:t>
            </w:r>
          </w:p>
        </w:tc>
        <w:tc>
          <w:tcPr>
            <w:tcW w:w="1975"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边角修整</w:t>
            </w:r>
          </w:p>
        </w:tc>
        <w:tc>
          <w:tcPr>
            <w:tcW w:w="4779" w:type="dxa"/>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边角柱位设备边缘修整，地面清理清扫</w:t>
            </w:r>
          </w:p>
        </w:tc>
      </w:tr>
    </w:tbl>
    <w:p>
      <w:pPr>
        <w:rPr>
          <w:rFonts w:hint="default" w:ascii="仿宋_GB2312" w:hAnsi="宋体" w:eastAsia="仿宋_GB2312"/>
          <w:spacing w:val="4"/>
          <w:sz w:val="28"/>
          <w:szCs w:val="28"/>
        </w:rPr>
      </w:pPr>
    </w:p>
    <w:p>
      <w:pPr>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施工区域附图</w:t>
      </w:r>
    </w:p>
    <w:p>
      <w:pPr>
        <w:rPr>
          <w:rFonts w:hint="eastAsia" w:ascii="Times New Roman" w:hAnsi="Times New Roman" w:eastAsia="宋体" w:cs="Times New Roman"/>
          <w:b/>
          <w:bCs/>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drawing>
          <wp:inline distT="0" distB="0" distL="114300" distR="114300">
            <wp:extent cx="5272405" cy="6017260"/>
            <wp:effectExtent l="0" t="0" r="4445" b="2540"/>
            <wp:docPr id="1" name="图片 1" descr="165957884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9578845858"/>
                    <pic:cNvPicPr>
                      <a:picLocks noChangeAspect="1"/>
                    </pic:cNvPicPr>
                  </pic:nvPicPr>
                  <pic:blipFill>
                    <a:blip r:embed="rId4"/>
                    <a:stretch>
                      <a:fillRect/>
                    </a:stretch>
                  </pic:blipFill>
                  <pic:spPr>
                    <a:xfrm>
                      <a:off x="0" y="0"/>
                      <a:ext cx="5272405" cy="60172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44F0E"/>
    <w:multiLevelType w:val="singleLevel"/>
    <w:tmpl w:val="EBC44F0E"/>
    <w:lvl w:ilvl="0" w:tentative="0">
      <w:start w:val="1"/>
      <w:numFmt w:val="decimal"/>
      <w:suff w:val="space"/>
      <w:lvlText w:val="%1、"/>
      <w:lvlJc w:val="left"/>
    </w:lvl>
  </w:abstractNum>
  <w:abstractNum w:abstractNumId="1">
    <w:nsid w:val="51D11F8C"/>
    <w:multiLevelType w:val="singleLevel"/>
    <w:tmpl w:val="51D11F8C"/>
    <w:lvl w:ilvl="0" w:tentative="0">
      <w:start w:val="1"/>
      <w:numFmt w:val="chineseCounting"/>
      <w:suff w:val="nothing"/>
      <w:lvlText w:val="%1、"/>
      <w:lvlJc w:val="left"/>
      <w:rPr>
        <w:rFonts w:hint="eastAsia"/>
      </w:rPr>
    </w:lvl>
  </w:abstractNum>
  <w:abstractNum w:abstractNumId="2">
    <w:nsid w:val="64EDD394"/>
    <w:multiLevelType w:val="singleLevel"/>
    <w:tmpl w:val="64EDD39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C1A2F"/>
    <w:rsid w:val="00074DE5"/>
    <w:rsid w:val="01746041"/>
    <w:rsid w:val="05A456A2"/>
    <w:rsid w:val="0650369A"/>
    <w:rsid w:val="079A30F6"/>
    <w:rsid w:val="09A31E0B"/>
    <w:rsid w:val="0B834FD4"/>
    <w:rsid w:val="0F181DE8"/>
    <w:rsid w:val="10390BCC"/>
    <w:rsid w:val="11E9219A"/>
    <w:rsid w:val="127E5CDA"/>
    <w:rsid w:val="171875C3"/>
    <w:rsid w:val="17273A4E"/>
    <w:rsid w:val="199D6859"/>
    <w:rsid w:val="19BB411D"/>
    <w:rsid w:val="1F3A3E7E"/>
    <w:rsid w:val="1FB04001"/>
    <w:rsid w:val="20ED5697"/>
    <w:rsid w:val="23D27BFE"/>
    <w:rsid w:val="249D3198"/>
    <w:rsid w:val="260C49B8"/>
    <w:rsid w:val="2BDE3DC0"/>
    <w:rsid w:val="2BF05954"/>
    <w:rsid w:val="2F7F4108"/>
    <w:rsid w:val="326B52C3"/>
    <w:rsid w:val="39CD7EDF"/>
    <w:rsid w:val="3AFF3CE9"/>
    <w:rsid w:val="3B475825"/>
    <w:rsid w:val="3C710719"/>
    <w:rsid w:val="3D6B4D68"/>
    <w:rsid w:val="41D06DC8"/>
    <w:rsid w:val="42021435"/>
    <w:rsid w:val="431A3816"/>
    <w:rsid w:val="44460288"/>
    <w:rsid w:val="496F79DA"/>
    <w:rsid w:val="4AB93124"/>
    <w:rsid w:val="4D69571A"/>
    <w:rsid w:val="4FED6D8C"/>
    <w:rsid w:val="51BF64A3"/>
    <w:rsid w:val="5547066C"/>
    <w:rsid w:val="5B102138"/>
    <w:rsid w:val="603617E8"/>
    <w:rsid w:val="604A0C78"/>
    <w:rsid w:val="63273D49"/>
    <w:rsid w:val="717C62B5"/>
    <w:rsid w:val="71DE3951"/>
    <w:rsid w:val="73BC503D"/>
    <w:rsid w:val="74044D4E"/>
    <w:rsid w:val="75DC10FB"/>
    <w:rsid w:val="760D30CA"/>
    <w:rsid w:val="776C1A2F"/>
    <w:rsid w:val="7C7E7EE9"/>
    <w:rsid w:val="7EAC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2022-01-28T01:02:00Z</dcterms:created>
  <dc:creator>HT</dc:creator>
  <cp:lastModifiedBy>LIjh</cp:lastModifiedBy>
  <dcterms:modified xsi:type="dcterms:W3CDTF">2022-08-05T05:33:29Z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312BF3C031CF4257A98CEB7BB2C116E6</vt:lpwstr>
  </property>
</Properties>
</file>